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A27FA3" w:rsidRDefault="00F92268" w:rsidP="00850792">
      <w:pPr>
        <w:pStyle w:val="BodyText"/>
        <w:rPr>
          <w:sz w:val="6"/>
          <w:szCs w:val="6"/>
        </w:rPr>
      </w:pPr>
      <w:r w:rsidRPr="00A27FA3">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A27FA3"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A27FA3" w:rsidRDefault="00F92268" w:rsidP="00F246C7">
            <w:pPr>
              <w:pStyle w:val="RefTableData"/>
            </w:pPr>
            <w:r w:rsidRPr="00A27FA3">
              <w:t>Reference number(s)</w:t>
            </w:r>
          </w:p>
        </w:tc>
      </w:tr>
      <w:tr w:rsidR="00F92268" w:rsidRPr="00A27FA3"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478D7770" w:rsidR="00F92268" w:rsidRPr="00A27FA3" w:rsidRDefault="00161FD5" w:rsidP="00F246C7">
            <w:pPr>
              <w:pStyle w:val="RefTableHeader"/>
            </w:pPr>
            <w:r w:rsidRPr="00A27FA3">
              <w:t>2261-A</w:t>
            </w:r>
          </w:p>
        </w:tc>
      </w:tr>
    </w:tbl>
    <w:p w14:paraId="74FBA5B4" w14:textId="77777777" w:rsidR="00051356" w:rsidRPr="00A27FA3" w:rsidRDefault="00051356" w:rsidP="00A672B3">
      <w:pPr>
        <w:pStyle w:val="BodyText"/>
        <w:rPr>
          <w:b/>
          <w:bCs/>
          <w:sz w:val="16"/>
          <w:szCs w:val="16"/>
        </w:rPr>
        <w:sectPr w:rsidR="00051356" w:rsidRPr="00A27FA3" w:rsidSect="009F5740">
          <w:headerReference w:type="even" r:id="rId12"/>
          <w:headerReference w:type="default" r:id="rId13"/>
          <w:footerReference w:type="even" r:id="rId14"/>
          <w:footerReference w:type="default" r:id="rId15"/>
          <w:headerReference w:type="first" r:id="rId16"/>
          <w:footerReference w:type="first" r:id="rId17"/>
          <w:pgSz w:w="12240" w:h="15840" w:code="1"/>
          <w:pgMar w:top="900" w:right="720" w:bottom="990" w:left="720" w:header="720" w:footer="807" w:gutter="0"/>
          <w:paperSrc w:first="15" w:other="15"/>
          <w:cols w:space="720"/>
          <w:titlePg/>
          <w:docGrid w:linePitch="272"/>
        </w:sectPr>
      </w:pPr>
    </w:p>
    <w:p w14:paraId="3F4DE49F" w14:textId="5824060A" w:rsidR="004B15BB" w:rsidRPr="00A27FA3" w:rsidRDefault="00161FD5" w:rsidP="007E5C16">
      <w:pPr>
        <w:pStyle w:val="Heading1"/>
      </w:pPr>
      <w:r w:rsidRPr="00A27FA3">
        <w:t>Specialty Guideline Management</w:t>
      </w:r>
      <w:r w:rsidRPr="00A27FA3">
        <w:br/>
      </w:r>
      <w:proofErr w:type="spellStart"/>
      <w:r w:rsidRPr="00A27FA3">
        <w:t>Besponsa</w:t>
      </w:r>
      <w:proofErr w:type="spellEnd"/>
    </w:p>
    <w:p w14:paraId="78861C92" w14:textId="1333841B" w:rsidR="00203468" w:rsidRPr="00A27FA3" w:rsidRDefault="00C64534" w:rsidP="008E0F0D">
      <w:pPr>
        <w:pStyle w:val="Heading2"/>
      </w:pPr>
      <w:r w:rsidRPr="00A27FA3">
        <w:t xml:space="preserve">Products Referenced by this </w:t>
      </w:r>
      <w:r w:rsidR="00501602" w:rsidRPr="00A27FA3">
        <w:t>Document</w:t>
      </w:r>
    </w:p>
    <w:p w14:paraId="5455152B" w14:textId="2F140773" w:rsidR="008E0F0D" w:rsidRPr="00A27FA3" w:rsidRDefault="00D82D85" w:rsidP="008B73E8">
      <w:pPr>
        <w:pStyle w:val="BodyText"/>
      </w:pPr>
      <w:r w:rsidRPr="00A27FA3">
        <w:t xml:space="preserve">Drugs that are listed in the </w:t>
      </w:r>
      <w:r w:rsidR="000315F1" w:rsidRPr="00A27FA3">
        <w:t>following table</w:t>
      </w:r>
      <w:r w:rsidRPr="00A27FA3">
        <w:t xml:space="preserve"> include both brand and generic and all dosage forms and strengths unless otherwise stated. </w:t>
      </w:r>
      <w:r w:rsidR="00E644D6">
        <w:t>Over</w:t>
      </w:r>
      <w:r w:rsidR="00770486">
        <w:t>-</w:t>
      </w:r>
      <w:r w:rsidR="00E644D6">
        <w:t>the</w:t>
      </w:r>
      <w:r w:rsidR="00770486">
        <w:t>-</w:t>
      </w:r>
      <w:r w:rsidR="00E644D6">
        <w:t>counter (</w:t>
      </w:r>
      <w:r w:rsidRPr="00A27FA3">
        <w:t>OTC</w:t>
      </w:r>
      <w:r w:rsidR="00E644D6">
        <w:t>)</w:t>
      </w:r>
      <w:r w:rsidRPr="00A27FA3">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A27FA3" w14:paraId="158421F8" w14:textId="77777777" w:rsidTr="000C5A6F">
        <w:trPr>
          <w:cantSplit/>
          <w:trHeight w:val="288"/>
          <w:tblHeader/>
        </w:trPr>
        <w:tc>
          <w:tcPr>
            <w:tcW w:w="5265" w:type="dxa"/>
            <w:vAlign w:val="center"/>
          </w:tcPr>
          <w:p w14:paraId="2A27354A" w14:textId="1390179E" w:rsidR="00252CE1" w:rsidRPr="00A27FA3" w:rsidRDefault="00252CE1" w:rsidP="00AA1E6A">
            <w:pPr>
              <w:pStyle w:val="TableHeader"/>
            </w:pPr>
            <w:bookmarkStart w:id="0" w:name="_Hlk159603270"/>
            <w:r w:rsidRPr="00A27FA3">
              <w:t>Brand Name</w:t>
            </w:r>
          </w:p>
        </w:tc>
        <w:tc>
          <w:tcPr>
            <w:tcW w:w="5595" w:type="dxa"/>
            <w:vAlign w:val="center"/>
          </w:tcPr>
          <w:p w14:paraId="3D342BE1" w14:textId="75F11EF1" w:rsidR="00252CE1" w:rsidRPr="00A27FA3" w:rsidRDefault="00252CE1" w:rsidP="00AA1E6A">
            <w:pPr>
              <w:pStyle w:val="TableHeader"/>
            </w:pPr>
            <w:r w:rsidRPr="00A27FA3">
              <w:t>Generic Name</w:t>
            </w:r>
          </w:p>
        </w:tc>
      </w:tr>
      <w:tr w:rsidR="00585FFF" w:rsidRPr="00A27FA3" w14:paraId="2AD5C02D" w14:textId="77777777" w:rsidTr="000C5A6F">
        <w:trPr>
          <w:cantSplit/>
        </w:trPr>
        <w:tc>
          <w:tcPr>
            <w:tcW w:w="5265" w:type="dxa"/>
          </w:tcPr>
          <w:p w14:paraId="2D8FA8E3" w14:textId="00954C53" w:rsidR="00585FFF" w:rsidRPr="00A27FA3" w:rsidRDefault="00161FD5" w:rsidP="00E82ABA">
            <w:pPr>
              <w:pStyle w:val="TableDataUnpadded"/>
            </w:pPr>
            <w:r w:rsidRPr="00A27FA3">
              <w:t>Besponsa</w:t>
            </w:r>
          </w:p>
        </w:tc>
        <w:tc>
          <w:tcPr>
            <w:tcW w:w="5595" w:type="dxa"/>
          </w:tcPr>
          <w:p w14:paraId="7E26A004" w14:textId="3FDBEA20" w:rsidR="00585FFF" w:rsidRPr="00A27FA3" w:rsidRDefault="00161FD5" w:rsidP="00E82ABA">
            <w:pPr>
              <w:pStyle w:val="TableDataUnpadded"/>
            </w:pPr>
            <w:r w:rsidRPr="00A27FA3">
              <w:t>inotuzumab ozogamicin</w:t>
            </w:r>
          </w:p>
        </w:tc>
      </w:tr>
    </w:tbl>
    <w:bookmarkEnd w:id="0"/>
    <w:p w14:paraId="14CE6108" w14:textId="072629B4" w:rsidR="00FC1AAD" w:rsidRPr="00A27FA3" w:rsidRDefault="00ED052F" w:rsidP="00AA2A94">
      <w:pPr>
        <w:pStyle w:val="Heading2"/>
        <w:tabs>
          <w:tab w:val="left" w:pos="9540"/>
        </w:tabs>
      </w:pPr>
      <w:r w:rsidRPr="00A27FA3">
        <w:t>Indications</w:t>
      </w:r>
    </w:p>
    <w:p w14:paraId="3C9FC038" w14:textId="184F6E32" w:rsidR="00161FD5" w:rsidRPr="00A27FA3" w:rsidRDefault="00161FD5" w:rsidP="00161FD5">
      <w:r w:rsidRPr="00A27FA3">
        <w:t>The indications below including FDA-approved indications and compendial uses are considered a covered benefit provided that all the approval criteria are met and the member has no exclusions to the prescribed therapy.</w:t>
      </w:r>
    </w:p>
    <w:p w14:paraId="134B5687" w14:textId="6EDB169B" w:rsidR="00ED052F" w:rsidRPr="00A27FA3" w:rsidRDefault="00ED052F" w:rsidP="00ED052F">
      <w:pPr>
        <w:pStyle w:val="Heading3"/>
        <w:keepNext w:val="0"/>
      </w:pPr>
      <w:r w:rsidRPr="00A27FA3">
        <w:t>FDA-</w:t>
      </w:r>
      <w:r w:rsidR="00DE010D">
        <w:t>A</w:t>
      </w:r>
      <w:r w:rsidRPr="00A27FA3">
        <w:t>pproved Indications</w:t>
      </w:r>
    </w:p>
    <w:p w14:paraId="07C3098D" w14:textId="47CD3F57" w:rsidR="00161FD5" w:rsidRPr="00A27FA3" w:rsidRDefault="00161FD5" w:rsidP="00DE010D">
      <w:pPr>
        <w:pStyle w:val="BodyText"/>
      </w:pPr>
      <w:r w:rsidRPr="00A27FA3">
        <w:t>Besponsa is indicated for the treatment of relapsed or refractory CD22-positive B-cell precursor acute lymphoblastic leukemia (ALL) in adult and pediatric patients 1 year and older.</w:t>
      </w:r>
    </w:p>
    <w:p w14:paraId="0B5EC236" w14:textId="65FF2A33" w:rsidR="0044763A" w:rsidRPr="00A27FA3" w:rsidRDefault="009F2EF1" w:rsidP="0044763A">
      <w:pPr>
        <w:pStyle w:val="Heading3"/>
      </w:pPr>
      <w:r w:rsidRPr="00A27FA3">
        <w:t>Compendial Uses</w:t>
      </w:r>
    </w:p>
    <w:p w14:paraId="1CF8F9D3" w14:textId="77777777" w:rsidR="00161FD5" w:rsidRDefault="00161FD5" w:rsidP="00C52974">
      <w:pPr>
        <w:pStyle w:val="TableList"/>
        <w:rPr>
          <w:rFonts w:eastAsia="Arial"/>
        </w:rPr>
      </w:pPr>
      <w:r w:rsidRPr="00A27FA3">
        <w:rPr>
          <w:rFonts w:eastAsia="Arial"/>
        </w:rPr>
        <w:t>Pediatric acute lymphoblastic leukemia (ALL)</w:t>
      </w:r>
    </w:p>
    <w:p w14:paraId="76163277" w14:textId="04886CE5" w:rsidR="00C52974" w:rsidRPr="00A27FA3" w:rsidRDefault="00C52974" w:rsidP="00C52974">
      <w:pPr>
        <w:pStyle w:val="TableList"/>
        <w:rPr>
          <w:rFonts w:eastAsia="Arial"/>
        </w:rPr>
      </w:pPr>
      <w:r>
        <w:rPr>
          <w:rFonts w:eastAsia="Arial"/>
        </w:rPr>
        <w:t>ALL – frontline/consolidation therapy</w:t>
      </w:r>
    </w:p>
    <w:p w14:paraId="557648C7" w14:textId="6606BEE1" w:rsidR="00161FD5" w:rsidRPr="00A27FA3" w:rsidRDefault="00161FD5" w:rsidP="00DE010D">
      <w:pPr>
        <w:pStyle w:val="BodyText"/>
        <w:rPr>
          <w:rFonts w:eastAsia="Arial"/>
        </w:rPr>
      </w:pPr>
      <w:r w:rsidRPr="00A27FA3">
        <w:rPr>
          <w:rFonts w:eastAsia="Arial"/>
        </w:rPr>
        <w:t>All other indications are considered experimental/investigational and not medically necessary.</w:t>
      </w:r>
    </w:p>
    <w:p w14:paraId="36381B6D" w14:textId="3244F122" w:rsidR="000D2496" w:rsidRPr="00A27FA3" w:rsidRDefault="000D2496" w:rsidP="000D2496">
      <w:pPr>
        <w:pStyle w:val="Heading2"/>
      </w:pPr>
      <w:r w:rsidRPr="00A27FA3">
        <w:t>Documentation</w:t>
      </w:r>
    </w:p>
    <w:p w14:paraId="7BBC1004" w14:textId="77777777" w:rsidR="00161FD5" w:rsidRPr="00A27FA3" w:rsidRDefault="00161FD5" w:rsidP="00DE010D">
      <w:pPr>
        <w:pStyle w:val="BodyText"/>
      </w:pPr>
      <w:r w:rsidRPr="00A27FA3">
        <w:t xml:space="preserve">Submission of the following information is necessary to initiate the prior authorization review: </w:t>
      </w:r>
    </w:p>
    <w:p w14:paraId="454EA699" w14:textId="78BF513A" w:rsidR="00161FD5" w:rsidRPr="00A27FA3" w:rsidRDefault="00161FD5" w:rsidP="00DE010D">
      <w:pPr>
        <w:pStyle w:val="BodyText"/>
      </w:pPr>
      <w:r w:rsidRPr="00A27FA3">
        <w:lastRenderedPageBreak/>
        <w:t>Testing or analysis confirming CD22 protein on the surface of the B-cell</w:t>
      </w:r>
    </w:p>
    <w:p w14:paraId="50A38FBA" w14:textId="5A177051" w:rsidR="00FE0C63" w:rsidRPr="00A27FA3" w:rsidRDefault="00685107" w:rsidP="00161FD5">
      <w:pPr>
        <w:pStyle w:val="Heading2"/>
        <w:tabs>
          <w:tab w:val="left" w:pos="9340"/>
        </w:tabs>
      </w:pPr>
      <w:r w:rsidRPr="00A27FA3">
        <w:t>Coverage Criteria</w:t>
      </w:r>
    </w:p>
    <w:p w14:paraId="4323B629" w14:textId="7A58D76D" w:rsidR="00161FD5" w:rsidRPr="00A27FA3" w:rsidRDefault="00161FD5" w:rsidP="00161FD5">
      <w:pPr>
        <w:pStyle w:val="Heading3"/>
      </w:pPr>
      <w:r w:rsidRPr="00A27FA3">
        <w:t xml:space="preserve">Acute </w:t>
      </w:r>
      <w:r w:rsidR="00E10F25" w:rsidRPr="00A27FA3">
        <w:t xml:space="preserve">Lymphoblastic Leukemia </w:t>
      </w:r>
      <w:r w:rsidRPr="00A27FA3">
        <w:t>(ALL)</w:t>
      </w:r>
    </w:p>
    <w:p w14:paraId="5DD57E3F" w14:textId="77777777" w:rsidR="000C38A3" w:rsidRPr="000C38A3" w:rsidRDefault="000C38A3" w:rsidP="000E3CA9">
      <w:pPr>
        <w:pStyle w:val="BodyText"/>
      </w:pPr>
      <w:r w:rsidRPr="000C38A3">
        <w:t>Authorization of 12 months may be granted for treatment of ALL as frontline (induction) therapy when all of the following criteria are met:</w:t>
      </w:r>
    </w:p>
    <w:p w14:paraId="62592927" w14:textId="77777777" w:rsidR="000C38A3" w:rsidRPr="000C38A3" w:rsidRDefault="000C38A3" w:rsidP="004B5393">
      <w:pPr>
        <w:pStyle w:val="ListParagraph"/>
      </w:pPr>
      <w:r w:rsidRPr="000C38A3">
        <w:t>Member has B-cell precursor ALL</w:t>
      </w:r>
    </w:p>
    <w:p w14:paraId="118C9716" w14:textId="77777777" w:rsidR="000C38A3" w:rsidRPr="000C38A3" w:rsidRDefault="000C38A3" w:rsidP="004B5393">
      <w:pPr>
        <w:pStyle w:val="ListParagraph"/>
      </w:pPr>
      <w:r w:rsidRPr="000C38A3">
        <w:t>The tumor is CD22-positive as confirmed by testing or analysis to identify the CD22 protein on the surface of the B-cell</w:t>
      </w:r>
    </w:p>
    <w:p w14:paraId="598CD945" w14:textId="77777777" w:rsidR="000C38A3" w:rsidRPr="000C38A3" w:rsidRDefault="000C38A3" w:rsidP="004B5393">
      <w:pPr>
        <w:pStyle w:val="ListParagraph"/>
      </w:pPr>
      <w:r w:rsidRPr="000C38A3">
        <w:t>Member has Philadelphia chromosome-negative disease.</w:t>
      </w:r>
    </w:p>
    <w:p w14:paraId="0B780157" w14:textId="77777777" w:rsidR="000C38A3" w:rsidRPr="000C38A3" w:rsidRDefault="000C38A3" w:rsidP="004B5393">
      <w:pPr>
        <w:pStyle w:val="ListParagraph"/>
      </w:pPr>
      <w:r w:rsidRPr="000C38A3">
        <w:t>The requested drug will be used in combination with cyclophosphamide, dexamethasone, vincristine, methotrexate and cytarabine with or without blinatumomab</w:t>
      </w:r>
    </w:p>
    <w:p w14:paraId="1CBE3CB4" w14:textId="7EC33973" w:rsidR="000C38A3" w:rsidRPr="000C38A3" w:rsidRDefault="000C38A3" w:rsidP="004B5393">
      <w:pPr>
        <w:pStyle w:val="ListParagraph"/>
      </w:pPr>
      <w:r w:rsidRPr="000C38A3">
        <w:t>Member will not receive more than 6 treatment cycles of the requested drug.</w:t>
      </w:r>
    </w:p>
    <w:p w14:paraId="492B7CC3" w14:textId="77777777" w:rsidR="000C38A3" w:rsidRPr="000C38A3" w:rsidRDefault="000C38A3" w:rsidP="000E3CA9">
      <w:pPr>
        <w:pStyle w:val="BodyText"/>
      </w:pPr>
      <w:r w:rsidRPr="000C38A3">
        <w:t>Authorization of 12 months may be granted for treatment of ALL as consolidation therapy when all of the following criteria are met:</w:t>
      </w:r>
    </w:p>
    <w:p w14:paraId="245E2799" w14:textId="77777777" w:rsidR="000C38A3" w:rsidRPr="000C38A3" w:rsidRDefault="000C38A3" w:rsidP="004B5393">
      <w:pPr>
        <w:pStyle w:val="ListParagraph"/>
      </w:pPr>
      <w:r w:rsidRPr="000C38A3">
        <w:t>Member has B-cell precursor ALL.</w:t>
      </w:r>
    </w:p>
    <w:p w14:paraId="4B21DB7E" w14:textId="77777777" w:rsidR="000C38A3" w:rsidRPr="000C38A3" w:rsidRDefault="000C38A3" w:rsidP="004B5393">
      <w:pPr>
        <w:pStyle w:val="ListParagraph"/>
      </w:pPr>
      <w:r w:rsidRPr="000C38A3">
        <w:t xml:space="preserve">The tumor is CD22-positive as confirmed by testing or analysis to identify the CD22 protein on the surface of the B-cell. </w:t>
      </w:r>
    </w:p>
    <w:p w14:paraId="6CEE527A" w14:textId="77777777" w:rsidR="000C38A3" w:rsidRPr="000C38A3" w:rsidRDefault="000C38A3" w:rsidP="004B5393">
      <w:pPr>
        <w:pStyle w:val="ListParagraph"/>
      </w:pPr>
      <w:r w:rsidRPr="000C38A3">
        <w:t>Member meets one of the following:</w:t>
      </w:r>
    </w:p>
    <w:p w14:paraId="0DDF0D22" w14:textId="77777777" w:rsidR="000C38A3" w:rsidRPr="000C38A3" w:rsidRDefault="000C38A3" w:rsidP="004B5393">
      <w:pPr>
        <w:pStyle w:val="ListParagraph"/>
      </w:pPr>
      <w:r w:rsidRPr="000C38A3">
        <w:t>Member has Philadelphia chromosome-positive disease and the requested drug will be used in combination with a tyrosine kinase inhibitor (e.g., imatinib, dasatinib, nilotinib, bosutinib, ponatinib)</w:t>
      </w:r>
    </w:p>
    <w:p w14:paraId="410779BD" w14:textId="77777777" w:rsidR="000C38A3" w:rsidRPr="000C38A3" w:rsidRDefault="000C38A3" w:rsidP="004B5393">
      <w:pPr>
        <w:pStyle w:val="ListParagraph"/>
      </w:pPr>
      <w:r w:rsidRPr="000C38A3">
        <w:t>Member has Philadelphia chromosome-negative disease and meets one of the following criteria:</w:t>
      </w:r>
    </w:p>
    <w:p w14:paraId="56D61DD4" w14:textId="77777777" w:rsidR="000C38A3" w:rsidRPr="000C38A3" w:rsidRDefault="000C38A3" w:rsidP="0071325C">
      <w:pPr>
        <w:pStyle w:val="ListParagraph"/>
        <w:numPr>
          <w:ilvl w:val="1"/>
          <w:numId w:val="21"/>
        </w:numPr>
      </w:pPr>
      <w:r w:rsidRPr="000C38A3">
        <w:t xml:space="preserve">The requested drug will be used as a single agent </w:t>
      </w:r>
    </w:p>
    <w:p w14:paraId="6F432382" w14:textId="77777777" w:rsidR="000C38A3" w:rsidRPr="000C38A3" w:rsidRDefault="000C38A3" w:rsidP="0071325C">
      <w:pPr>
        <w:pStyle w:val="ListParagraph"/>
        <w:numPr>
          <w:ilvl w:val="1"/>
          <w:numId w:val="21"/>
        </w:numPr>
      </w:pPr>
      <w:r w:rsidRPr="000C38A3">
        <w:t xml:space="preserve">The requested drug will be used in combination with cyclophosphamide, dexamethasone, vincristine, methotrexate and cytarabine with or without blinatumomab </w:t>
      </w:r>
    </w:p>
    <w:p w14:paraId="4D6C892A" w14:textId="6D604FCB" w:rsidR="000C38A3" w:rsidRPr="000C38A3" w:rsidRDefault="000C38A3" w:rsidP="0071325C">
      <w:pPr>
        <w:pStyle w:val="ListParagraph"/>
      </w:pPr>
      <w:r w:rsidRPr="000C38A3">
        <w:t>Member will not receive more than 6 treatment cycles of the requested drug</w:t>
      </w:r>
    </w:p>
    <w:p w14:paraId="57D6EF31" w14:textId="77777777" w:rsidR="000C38A3" w:rsidRPr="000C38A3" w:rsidRDefault="000C38A3" w:rsidP="000E3CA9">
      <w:pPr>
        <w:pStyle w:val="BodyText"/>
      </w:pPr>
      <w:r w:rsidRPr="000C38A3">
        <w:t>Authorization of 12 months may be granted for treatment of relapsed or refractory ALL when all of the following criteria are met:</w:t>
      </w:r>
    </w:p>
    <w:p w14:paraId="6BA309F5" w14:textId="77777777" w:rsidR="000C38A3" w:rsidRPr="000C38A3" w:rsidRDefault="000C38A3" w:rsidP="000E3CA9">
      <w:pPr>
        <w:pStyle w:val="ListParagraph"/>
      </w:pPr>
      <w:r w:rsidRPr="000C38A3">
        <w:t>Member has B-cell precursor ALL.</w:t>
      </w:r>
    </w:p>
    <w:p w14:paraId="68C1F011" w14:textId="77777777" w:rsidR="000C38A3" w:rsidRPr="000C38A3" w:rsidRDefault="000C38A3" w:rsidP="000E3CA9">
      <w:pPr>
        <w:pStyle w:val="ListParagraph"/>
      </w:pPr>
      <w:r w:rsidRPr="000C38A3">
        <w:t>The tumor is CD22-positive as confirmed by testing or analysis to identify the CD22 protein on the surface of the B-cell.</w:t>
      </w:r>
    </w:p>
    <w:p w14:paraId="7323A3F3" w14:textId="77777777" w:rsidR="000C38A3" w:rsidRPr="000C38A3" w:rsidRDefault="000C38A3" w:rsidP="000E3CA9">
      <w:pPr>
        <w:pStyle w:val="ListParagraph"/>
      </w:pPr>
      <w:r w:rsidRPr="000C38A3">
        <w:t>Member meets one of the following:</w:t>
      </w:r>
    </w:p>
    <w:p w14:paraId="39559112" w14:textId="77777777" w:rsidR="000C38A3" w:rsidRPr="000C38A3" w:rsidRDefault="000C38A3" w:rsidP="0071325C">
      <w:pPr>
        <w:pStyle w:val="ListParagraph"/>
        <w:numPr>
          <w:ilvl w:val="1"/>
          <w:numId w:val="21"/>
        </w:numPr>
      </w:pPr>
      <w:r w:rsidRPr="000C38A3">
        <w:t xml:space="preserve">Member has Philadelphia chromosome-positive disease </w:t>
      </w:r>
    </w:p>
    <w:p w14:paraId="22AB39AE" w14:textId="77777777" w:rsidR="000C38A3" w:rsidRPr="000C38A3" w:rsidRDefault="000C38A3" w:rsidP="0071325C">
      <w:pPr>
        <w:pStyle w:val="ListParagraph"/>
        <w:numPr>
          <w:ilvl w:val="1"/>
          <w:numId w:val="21"/>
        </w:numPr>
      </w:pPr>
      <w:r w:rsidRPr="000C38A3">
        <w:t>Member has Philadelphia chromosome-negative disease.</w:t>
      </w:r>
    </w:p>
    <w:p w14:paraId="1DD08F65" w14:textId="77777777" w:rsidR="000C38A3" w:rsidRPr="000C38A3" w:rsidRDefault="000C38A3" w:rsidP="000E3CA9">
      <w:pPr>
        <w:pStyle w:val="ListParagraph"/>
      </w:pPr>
      <w:r w:rsidRPr="000C38A3">
        <w:t>The requested drug will be used in one of the following settings:</w:t>
      </w:r>
    </w:p>
    <w:p w14:paraId="6519DE98" w14:textId="77777777" w:rsidR="000C38A3" w:rsidRPr="000C38A3" w:rsidRDefault="000C38A3" w:rsidP="007C350E">
      <w:pPr>
        <w:pStyle w:val="ListParagraph"/>
        <w:numPr>
          <w:ilvl w:val="1"/>
          <w:numId w:val="21"/>
        </w:numPr>
      </w:pPr>
      <w:r w:rsidRPr="000C38A3">
        <w:lastRenderedPageBreak/>
        <w:t>As a single agent</w:t>
      </w:r>
    </w:p>
    <w:p w14:paraId="2C7D634F" w14:textId="77777777" w:rsidR="000C38A3" w:rsidRPr="000C38A3" w:rsidRDefault="000C38A3" w:rsidP="007C350E">
      <w:pPr>
        <w:pStyle w:val="ListParagraph"/>
        <w:numPr>
          <w:ilvl w:val="1"/>
          <w:numId w:val="21"/>
        </w:numPr>
      </w:pPr>
      <w:r w:rsidRPr="000C38A3">
        <w:t>In combination with a tyrosine kinase inhibitor for Philadelphia chromosome-positive disease (e.g., imatinib, dasatinib, nilotinib, bosutinib, ponatinib)</w:t>
      </w:r>
    </w:p>
    <w:p w14:paraId="61578B5D" w14:textId="77777777" w:rsidR="000C38A3" w:rsidRPr="000C38A3" w:rsidRDefault="000C38A3" w:rsidP="007C350E">
      <w:pPr>
        <w:pStyle w:val="ListParagraph"/>
        <w:numPr>
          <w:ilvl w:val="1"/>
          <w:numId w:val="21"/>
        </w:numPr>
      </w:pPr>
      <w:r w:rsidRPr="000C38A3">
        <w:t>In combination with cyclophosphamide, dexamethasone, vincristine, methotrexate and cytarabine with or without blinatumomab</w:t>
      </w:r>
    </w:p>
    <w:p w14:paraId="768A5B6E" w14:textId="13FCA0FB" w:rsidR="000C38A3" w:rsidRPr="000C38A3" w:rsidRDefault="000C38A3" w:rsidP="000E3CA9">
      <w:pPr>
        <w:pStyle w:val="ListParagraph"/>
      </w:pPr>
      <w:r w:rsidRPr="000C38A3">
        <w:t>Member will not receive more than 6 treatment cycles of the requested drug.</w:t>
      </w:r>
    </w:p>
    <w:p w14:paraId="3A643EC3" w14:textId="6D3D9A6C" w:rsidR="00A501AC" w:rsidRPr="00A27FA3" w:rsidRDefault="00A501AC" w:rsidP="00A501AC">
      <w:pPr>
        <w:pStyle w:val="Heading2"/>
      </w:pPr>
      <w:r w:rsidRPr="00A27FA3">
        <w:t>Continuation of Therapy</w:t>
      </w:r>
    </w:p>
    <w:p w14:paraId="6CF5D7B5" w14:textId="605EEF58" w:rsidR="00161FD5" w:rsidRDefault="00161FD5" w:rsidP="00DE010D">
      <w:pPr>
        <w:pStyle w:val="BodyText"/>
      </w:pPr>
      <w:r w:rsidRPr="00A27FA3">
        <w:t>Authorization of 12 months (up to 6 cycles total) may be granted for continued treatment in members requesting reauthorization for an indication listed in the coverage criteria section when there is no evidence of unacceptable toxicity or disease progression while on the current regimen.</w:t>
      </w:r>
    </w:p>
    <w:p w14:paraId="10DA4309" w14:textId="4F1F73B6" w:rsidR="00FF66BF" w:rsidRPr="00A27FA3" w:rsidRDefault="00FF66BF" w:rsidP="00FF66BF">
      <w:pPr>
        <w:pStyle w:val="Heading2"/>
      </w:pPr>
      <w:r w:rsidRPr="00A27FA3">
        <w:t>References</w:t>
      </w:r>
    </w:p>
    <w:p w14:paraId="034CC355" w14:textId="77777777" w:rsidR="00161FD5" w:rsidRPr="00DE010D" w:rsidRDefault="00161FD5" w:rsidP="00DE010D">
      <w:pPr>
        <w:pStyle w:val="ReferenceOrdered"/>
      </w:pPr>
      <w:r w:rsidRPr="00DE010D">
        <w:t>Besponsa [package insert]. Philadelphia, PA: Wyeth Pharmaceuticals LLC, Inc.; March 2024.</w:t>
      </w:r>
    </w:p>
    <w:p w14:paraId="0184C8B2" w14:textId="28445C2A" w:rsidR="00161FD5" w:rsidRPr="00DE010D" w:rsidRDefault="00161FD5" w:rsidP="00DE010D">
      <w:pPr>
        <w:pStyle w:val="ReferenceOrdered"/>
      </w:pPr>
      <w:r w:rsidRPr="00DE010D">
        <w:t>Kantarjian Hagop M, DeAngelo Daniel J., Stelljes Matthias, et al. Inotuzumab Ozogamicin versus Standard Therapy for Acute Lymphoblastic Leukemia. N Engl J Med. 2016; 375: 740-53.</w:t>
      </w:r>
    </w:p>
    <w:p w14:paraId="47E1A10C" w14:textId="0500B99D" w:rsidR="00C44990" w:rsidRPr="00B0787C" w:rsidRDefault="00161FD5" w:rsidP="00B0787C">
      <w:pPr>
        <w:pStyle w:val="ReferenceOrdered"/>
      </w:pPr>
      <w:r w:rsidRPr="00DE010D">
        <w:t xml:space="preserve">The NCCN Drugs &amp; Biologics Compendium® © 2024 National Comprehensive Cancer Network, Inc. </w:t>
      </w:r>
      <w:r w:rsidRPr="00DE010D">
        <w:rPr>
          <w:rStyle w:val="Hyperlink"/>
          <w:color w:val="auto"/>
          <w:u w:val="none"/>
        </w:rPr>
        <w:t>https://www.nccn.org</w:t>
      </w:r>
      <w:r w:rsidRPr="00DE010D">
        <w:t xml:space="preserve">. Accessed </w:t>
      </w:r>
      <w:r w:rsidR="00413980" w:rsidRPr="00413980">
        <w:t>June 25, 2024.</w:t>
      </w:r>
    </w:p>
    <w:sectPr w:rsidR="00C44990" w:rsidRPr="00B0787C" w:rsidSect="009F5740">
      <w:headerReference w:type="first" r:id="rId18"/>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61F6F" w14:textId="77777777" w:rsidR="00B05F11" w:rsidRDefault="00B05F11">
      <w:r>
        <w:separator/>
      </w:r>
    </w:p>
  </w:endnote>
  <w:endnote w:type="continuationSeparator" w:id="0">
    <w:p w14:paraId="6379A894" w14:textId="77777777" w:rsidR="00B05F11" w:rsidRDefault="00B05F11">
      <w:r>
        <w:continuationSeparator/>
      </w:r>
    </w:p>
  </w:endnote>
  <w:endnote w:type="continuationNotice" w:id="1">
    <w:p w14:paraId="70A1FA61" w14:textId="77777777" w:rsidR="00B05F11" w:rsidRDefault="00B05F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E9E5E" w14:textId="77777777" w:rsidR="00BF4D08" w:rsidRDefault="00BF4D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10C7C929"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BF4D08" w:rsidRPr="00BF4D08">
      <w:rPr>
        <w:rFonts w:cs="Arial"/>
        <w:noProof/>
        <w:sz w:val="16"/>
        <w:szCs w:val="16"/>
      </w:rPr>
      <w:t>Besponsa</w:t>
    </w:r>
    <w:r w:rsidR="00BF4D08">
      <w:rPr>
        <w:rFonts w:cs="Arial"/>
        <w:noProof/>
        <w:snapToGrid w:val="0"/>
        <w:color w:val="000000"/>
        <w:sz w:val="16"/>
        <w:szCs w:val="16"/>
      </w:rPr>
      <w:t xml:space="preserve"> SGM 2261-A</w:t>
    </w:r>
    <w:r w:rsidR="00BF4D08" w:rsidRPr="00BF4D08">
      <w:rPr>
        <w:rFonts w:cs="Arial"/>
        <w:noProof/>
        <w:sz w:val="16"/>
        <w:szCs w:val="16"/>
      </w:rPr>
      <w:t xml:space="preserve"> P2024a</w:t>
    </w:r>
    <w:r w:rsidR="00BF4D08">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1A70D2FA"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3C3A0F7C" w:rsidR="00F75C81" w:rsidRPr="00BF4D08" w:rsidRDefault="00C36B72" w:rsidP="00BF4D08">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30DC337D"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B0787C" w:rsidRPr="00B0787C">
      <w:rPr>
        <w:rFonts w:cs="Arial"/>
        <w:noProof/>
        <w:sz w:val="16"/>
        <w:szCs w:val="16"/>
      </w:rPr>
      <w:t>Besponsa</w:t>
    </w:r>
    <w:r w:rsidR="00B0787C">
      <w:rPr>
        <w:rFonts w:cs="Arial"/>
        <w:noProof/>
        <w:snapToGrid w:val="0"/>
        <w:color w:val="000000"/>
        <w:sz w:val="16"/>
        <w:szCs w:val="16"/>
      </w:rPr>
      <w:t xml:space="preserve"> SGM</w:t>
    </w:r>
    <w:r w:rsidR="00B0787C" w:rsidRPr="00B0787C">
      <w:rPr>
        <w:rFonts w:cs="Arial"/>
        <w:noProof/>
        <w:sz w:val="16"/>
        <w:szCs w:val="16"/>
      </w:rPr>
      <w:t xml:space="preserve"> </w:t>
    </w:r>
    <w:r w:rsidR="00B0787C">
      <w:rPr>
        <w:rFonts w:cs="Arial"/>
        <w:noProof/>
        <w:snapToGrid w:val="0"/>
        <w:color w:val="000000"/>
        <w:sz w:val="16"/>
        <w:szCs w:val="16"/>
      </w:rPr>
      <w:t xml:space="preserve">2261-A </w:t>
    </w:r>
    <w:r w:rsidR="00B0787C" w:rsidRPr="00B0787C">
      <w:rPr>
        <w:rFonts w:cs="Arial"/>
        <w:noProof/>
        <w:sz w:val="16"/>
        <w:szCs w:val="16"/>
      </w:rPr>
      <w:t>P2024a_R.docx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77777777"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 xml:space="preserve">. </w:t>
    </w:r>
  </w:p>
  <w:p w14:paraId="64F317B8" w14:textId="0940FB0E" w:rsidR="00ED04EC" w:rsidRPr="00F50D98" w:rsidRDefault="00F50D98" w:rsidP="007910F3">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2AC4A1" w14:textId="77777777" w:rsidR="00B05F11" w:rsidRDefault="00B05F11">
      <w:r>
        <w:separator/>
      </w:r>
    </w:p>
  </w:footnote>
  <w:footnote w:type="continuationSeparator" w:id="0">
    <w:p w14:paraId="117B80B4" w14:textId="77777777" w:rsidR="00B05F11" w:rsidRDefault="00B05F11">
      <w:r>
        <w:continuationSeparator/>
      </w:r>
    </w:p>
  </w:footnote>
  <w:footnote w:type="continuationNotice" w:id="1">
    <w:p w14:paraId="46713179" w14:textId="77777777" w:rsidR="00B05F11" w:rsidRDefault="00B05F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7D34E" w14:textId="77777777" w:rsidR="00BF4D08" w:rsidRDefault="00BF4D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A27FA3" w:rsidRDefault="00ED04EC" w:rsidP="00ED04EC">
          <w:pPr>
            <w:pStyle w:val="Header"/>
            <w:rPr>
              <w:rFonts w:cs="Arial"/>
              <w:sz w:val="16"/>
              <w:szCs w:val="16"/>
            </w:rPr>
          </w:pPr>
          <w:r w:rsidRPr="00A27FA3">
            <w:rPr>
              <w:rFonts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5E240C18" w:rsidR="00ED04EC" w:rsidRPr="00A27FA3" w:rsidRDefault="00161FD5" w:rsidP="00ED04EC">
          <w:pPr>
            <w:pStyle w:val="Header"/>
            <w:rPr>
              <w:rFonts w:cs="Arial"/>
              <w:sz w:val="16"/>
              <w:szCs w:val="16"/>
            </w:rPr>
          </w:pPr>
          <w:r w:rsidRPr="00A27FA3">
            <w:rPr>
              <w:rFonts w:cs="Arial"/>
              <w:sz w:val="16"/>
              <w:szCs w:val="16"/>
            </w:rPr>
            <w:t>2261-A</w:t>
          </w:r>
        </w:p>
      </w:tc>
    </w:tr>
  </w:tbl>
  <w:p w14:paraId="0D5ACCC2" w14:textId="462A1075" w:rsidR="00ED04EC" w:rsidRPr="00AA1E6A" w:rsidRDefault="00ED04EC" w:rsidP="00B02279">
    <w:pPr>
      <w:pStyle w:val="Header"/>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09989" w14:textId="77777777" w:rsidR="00BF4D08" w:rsidRDefault="00BF4D0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161FD5" w:rsidRPr="00AA1E6A" w14:paraId="44C79DBF" w14:textId="77777777" w:rsidTr="003B40C1">
      <w:trPr>
        <w:trHeight w:val="144"/>
        <w:jc w:val="right"/>
      </w:trPr>
      <w:tc>
        <w:tcPr>
          <w:tcW w:w="1854" w:type="dxa"/>
          <w:hideMark/>
        </w:tcPr>
        <w:p w14:paraId="02384BFB" w14:textId="77777777" w:rsidR="00161FD5" w:rsidRPr="00A27FA3" w:rsidRDefault="00161FD5" w:rsidP="00161FD5">
          <w:pPr>
            <w:pStyle w:val="Header"/>
            <w:rPr>
              <w:rFonts w:cs="Arial"/>
              <w:sz w:val="16"/>
              <w:szCs w:val="16"/>
            </w:rPr>
          </w:pPr>
          <w:r w:rsidRPr="00A27FA3">
            <w:rPr>
              <w:rFonts w:cs="Arial"/>
              <w:sz w:val="16"/>
              <w:szCs w:val="16"/>
            </w:rPr>
            <w:t>Reference number(s)</w:t>
          </w:r>
        </w:p>
      </w:tc>
    </w:tr>
    <w:tr w:rsidR="00161FD5" w:rsidRPr="004C7F1D" w14:paraId="2360F804" w14:textId="77777777" w:rsidTr="003B40C1">
      <w:trPr>
        <w:trHeight w:val="378"/>
        <w:jc w:val="right"/>
      </w:trPr>
      <w:tc>
        <w:tcPr>
          <w:tcW w:w="1854" w:type="dxa"/>
          <w:hideMark/>
        </w:tcPr>
        <w:p w14:paraId="38FB7FC2" w14:textId="77777777" w:rsidR="00161FD5" w:rsidRPr="00A27FA3" w:rsidRDefault="00161FD5" w:rsidP="00161FD5">
          <w:pPr>
            <w:pStyle w:val="Header"/>
            <w:rPr>
              <w:rFonts w:cs="Arial"/>
              <w:sz w:val="16"/>
              <w:szCs w:val="16"/>
            </w:rPr>
          </w:pPr>
          <w:r w:rsidRPr="00A27FA3">
            <w:rPr>
              <w:rFonts w:cs="Arial"/>
              <w:sz w:val="16"/>
              <w:szCs w:val="16"/>
            </w:rPr>
            <w:t>2261-A</w:t>
          </w:r>
        </w:p>
      </w:tc>
    </w:tr>
  </w:tbl>
  <w:p w14:paraId="6D3415E1" w14:textId="77777777" w:rsidR="00161FD5" w:rsidRPr="00161FD5" w:rsidRDefault="00161FD5">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9503BC"/>
    <w:multiLevelType w:val="hybridMultilevel"/>
    <w:tmpl w:val="DDDAAC72"/>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571C23"/>
    <w:multiLevelType w:val="hybridMultilevel"/>
    <w:tmpl w:val="868052B0"/>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55F1625"/>
    <w:multiLevelType w:val="hybridMultilevel"/>
    <w:tmpl w:val="840C22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7"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11E3724"/>
    <w:multiLevelType w:val="hybridMultilevel"/>
    <w:tmpl w:val="58D2001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70E7995"/>
    <w:multiLevelType w:val="hybridMultilevel"/>
    <w:tmpl w:val="CA8E5E92"/>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2E250D19"/>
    <w:multiLevelType w:val="hybridMultilevel"/>
    <w:tmpl w:val="74AA4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4974F7"/>
    <w:multiLevelType w:val="hybridMultilevel"/>
    <w:tmpl w:val="D51ACC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6A4CED"/>
    <w:multiLevelType w:val="hybridMultilevel"/>
    <w:tmpl w:val="86D62736"/>
    <w:lvl w:ilvl="0" w:tplc="4EA473C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6594F19"/>
    <w:multiLevelType w:val="hybridMultilevel"/>
    <w:tmpl w:val="C89ED6F4"/>
    <w:lvl w:ilvl="0" w:tplc="209AF6F8">
      <w:start w:val="1"/>
      <w:numFmt w:val="upperLetter"/>
      <w:lvlText w:val="%1."/>
      <w:lvlJc w:val="left"/>
      <w:pPr>
        <w:ind w:left="1080" w:hanging="720"/>
      </w:pPr>
      <w:rPr>
        <w:rFonts w:hint="default"/>
      </w:rPr>
    </w:lvl>
    <w:lvl w:ilvl="1" w:tplc="7F0EE33A">
      <w:start w:val="1"/>
      <w:numFmt w:val="decimal"/>
      <w:lvlText w:val="%2."/>
      <w:lvlJc w:val="left"/>
      <w:pPr>
        <w:ind w:left="1800" w:hanging="720"/>
      </w:pPr>
      <w:rPr>
        <w:rFonts w:hint="default"/>
      </w:rPr>
    </w:lvl>
    <w:lvl w:ilvl="2" w:tplc="C7F69CD4">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5D332A"/>
    <w:multiLevelType w:val="hybridMultilevel"/>
    <w:tmpl w:val="B07AED54"/>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D5365E"/>
    <w:multiLevelType w:val="hybridMultilevel"/>
    <w:tmpl w:val="B6D6CD90"/>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BB5F61"/>
    <w:multiLevelType w:val="hybridMultilevel"/>
    <w:tmpl w:val="9BE674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3"/>
  </w:num>
  <w:num w:numId="2" w16cid:durableId="606935877">
    <w:abstractNumId w:val="33"/>
  </w:num>
  <w:num w:numId="3" w16cid:durableId="611589570">
    <w:abstractNumId w:val="27"/>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4"/>
  </w:num>
  <w:num w:numId="15" w16cid:durableId="616722934">
    <w:abstractNumId w:val="11"/>
  </w:num>
  <w:num w:numId="16" w16cid:durableId="898320195">
    <w:abstractNumId w:val="22"/>
  </w:num>
  <w:num w:numId="17" w16cid:durableId="2128498676">
    <w:abstractNumId w:val="36"/>
  </w:num>
  <w:num w:numId="18" w16cid:durableId="299724409">
    <w:abstractNumId w:val="30"/>
  </w:num>
  <w:num w:numId="19" w16cid:durableId="214585573">
    <w:abstractNumId w:val="16"/>
  </w:num>
  <w:num w:numId="20" w16cid:durableId="1289816170">
    <w:abstractNumId w:val="17"/>
  </w:num>
  <w:num w:numId="21" w16cid:durableId="1066490929">
    <w:abstractNumId w:val="38"/>
  </w:num>
  <w:num w:numId="22" w16cid:durableId="1472481103">
    <w:abstractNumId w:val="32"/>
  </w:num>
  <w:num w:numId="23" w16cid:durableId="1997420403">
    <w:abstractNumId w:val="35"/>
  </w:num>
  <w:num w:numId="24" w16cid:durableId="33312838">
    <w:abstractNumId w:val="31"/>
  </w:num>
  <w:num w:numId="25" w16cid:durableId="507404939">
    <w:abstractNumId w:val="21"/>
  </w:num>
  <w:num w:numId="26" w16cid:durableId="1950313333">
    <w:abstractNumId w:val="26"/>
  </w:num>
  <w:num w:numId="27" w16cid:durableId="1866016584">
    <w:abstractNumId w:val="24"/>
  </w:num>
  <w:num w:numId="28" w16cid:durableId="979771401">
    <w:abstractNumId w:val="23"/>
  </w:num>
  <w:num w:numId="29" w16cid:durableId="1340502197">
    <w:abstractNumId w:val="28"/>
  </w:num>
  <w:num w:numId="30" w16cid:durableId="291637660">
    <w:abstractNumId w:val="29"/>
  </w:num>
  <w:num w:numId="31" w16cid:durableId="1719160142">
    <w:abstractNumId w:val="10"/>
  </w:num>
  <w:num w:numId="32" w16cid:durableId="153642913">
    <w:abstractNumId w:val="38"/>
  </w:num>
  <w:num w:numId="33" w16cid:durableId="1475413715">
    <w:abstractNumId w:val="38"/>
  </w:num>
  <w:num w:numId="34" w16cid:durableId="232861920">
    <w:abstractNumId w:val="18"/>
  </w:num>
  <w:num w:numId="35" w16cid:durableId="2050491320">
    <w:abstractNumId w:val="34"/>
  </w:num>
  <w:num w:numId="36" w16cid:durableId="1721980053">
    <w:abstractNumId w:val="15"/>
  </w:num>
  <w:num w:numId="37" w16cid:durableId="1683240380">
    <w:abstractNumId w:val="25"/>
  </w:num>
  <w:num w:numId="38" w16cid:durableId="261034309">
    <w:abstractNumId w:val="20"/>
  </w:num>
  <w:num w:numId="39" w16cid:durableId="908198838">
    <w:abstractNumId w:val="37"/>
  </w:num>
  <w:num w:numId="40" w16cid:durableId="832532745">
    <w:abstractNumId w:val="12"/>
  </w:num>
  <w:num w:numId="41" w16cid:durableId="271012458">
    <w:abstractNumId w:val="1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8A3"/>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9"/>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1FD5"/>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0CED"/>
    <w:rsid w:val="001B1863"/>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3980"/>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17D8"/>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393"/>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C7F1D"/>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325C"/>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86"/>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0F3"/>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350E"/>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51A"/>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F0845"/>
    <w:rsid w:val="009F1461"/>
    <w:rsid w:val="009F1EDE"/>
    <w:rsid w:val="009F2CEE"/>
    <w:rsid w:val="009F2EF1"/>
    <w:rsid w:val="009F3F1F"/>
    <w:rsid w:val="009F426B"/>
    <w:rsid w:val="009F4ACC"/>
    <w:rsid w:val="009F5740"/>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27FA3"/>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D1"/>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2275"/>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5920"/>
    <w:rsid w:val="00B05F11"/>
    <w:rsid w:val="00B06462"/>
    <w:rsid w:val="00B06E83"/>
    <w:rsid w:val="00B0787C"/>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5DBC"/>
    <w:rsid w:val="00BD672B"/>
    <w:rsid w:val="00BD6ED4"/>
    <w:rsid w:val="00BE0818"/>
    <w:rsid w:val="00BE1277"/>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5E3"/>
    <w:rsid w:val="00BF3789"/>
    <w:rsid w:val="00BF4287"/>
    <w:rsid w:val="00BF4324"/>
    <w:rsid w:val="00BF4D08"/>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2974"/>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3E7B"/>
    <w:rsid w:val="00DD4EA3"/>
    <w:rsid w:val="00DD5193"/>
    <w:rsid w:val="00DD5970"/>
    <w:rsid w:val="00DD6F65"/>
    <w:rsid w:val="00DD70A3"/>
    <w:rsid w:val="00DE010D"/>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0F25"/>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34FA"/>
    <w:rsid w:val="00E63F7A"/>
    <w:rsid w:val="00E644D6"/>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2E3F"/>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BE9DDB-2CBC-4E56-A82B-0D5EC390B637}"/>
</file>

<file path=customXml/itemProps2.xml><?xml version="1.0" encoding="utf-8"?>
<ds:datastoreItem xmlns:ds="http://schemas.openxmlformats.org/officeDocument/2006/customXml" ds:itemID="{A243CFE1-08DE-432F-83DD-4933F5F97812}">
  <ds:schemaRefs>
    <ds:schemaRef ds:uri="http://purl.org/dc/terms/"/>
    <ds:schemaRef ds:uri="http://schemas.openxmlformats.org/package/2006/metadata/core-properties"/>
    <ds:schemaRef ds:uri="ce173f13-e3a2-4c5f-8c54-d0382ae88016"/>
    <ds:schemaRef ds:uri="http://schemas.microsoft.com/office/2006/documentManagement/types"/>
    <ds:schemaRef ds:uri="http://schemas.microsoft.com/office/infopath/2007/PartnerControls"/>
    <ds:schemaRef ds:uri="http://purl.org/dc/elements/1.1/"/>
    <ds:schemaRef ds:uri="http://schemas.microsoft.com/office/2006/metadata/properties"/>
    <ds:schemaRef ds:uri="102fadf2-6cae-45bc-95f6-bc2613b98572"/>
    <ds:schemaRef ds:uri="http://www.w3.org/XML/1998/namespace"/>
    <ds:schemaRef ds:uri="http://purl.org/dc/dcmitype/"/>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618</Words>
  <Characters>3691</Characters>
  <Application>Microsoft Office Word</Application>
  <DocSecurity>0</DocSecurity>
  <Lines>92</Lines>
  <Paragraphs>76</Paragraphs>
  <ScaleCrop>false</ScaleCrop>
  <HeadingPairs>
    <vt:vector size="2" baseType="variant">
      <vt:variant>
        <vt:lpstr>Title</vt:lpstr>
      </vt:variant>
      <vt:variant>
        <vt:i4>1</vt:i4>
      </vt:variant>
    </vt:vector>
  </HeadingPairs>
  <TitlesOfParts>
    <vt:vector size="1" baseType="lpstr">
      <vt:lpstr>Besponsa 2261-A SGM 2024</vt:lpstr>
    </vt:vector>
  </TitlesOfParts>
  <Company>PCS Health Systems</Company>
  <LinksUpToDate>false</LinksUpToDate>
  <CharactersWithSpaces>4233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Besponsa 2261-A SGM 2024</dc:title>
  <dc:subject/>
  <dc:creator>CVS Caremark</dc:creator>
  <cp:keywords/>
  <cp:lastModifiedBy>Clark, Shannon I</cp:lastModifiedBy>
  <cp:revision>4</cp:revision>
  <cp:lastPrinted>2018-01-09T05:01:00Z</cp:lastPrinted>
  <dcterms:created xsi:type="dcterms:W3CDTF">2024-12-31T19:12:00Z</dcterms:created>
  <dcterms:modified xsi:type="dcterms:W3CDTF">2025-01-01T02:52:00Z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xd_ProgID">
    <vt:lpwstr/>
  </property>
  <property fmtid="{D5CDD505-2E9C-101B-9397-08002B2CF9AE}" pid="12" name="_SourceUrl">
    <vt:lpwstr/>
  </property>
  <property fmtid="{D5CDD505-2E9C-101B-9397-08002B2CF9AE}" pid="13" name="_SharedFileIndex">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xd_Signature">
    <vt:bool>false</vt:bool>
  </property>
  <property fmtid="{D5CDD505-2E9C-101B-9397-08002B2CF9AE}" pid="19" name="Order">
    <vt:r8>1177600</vt:r8>
  </property>
</Properties>
</file>